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F0" w:rsidRPr="00FF59AE" w:rsidRDefault="00FF59AE" w:rsidP="00FF59AE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b/>
          <w:sz w:val="24"/>
          <w:szCs w:val="24"/>
          <w:u w:val="single"/>
          <w:lang w:val="en-US"/>
        </w:rPr>
        <w:t>“</w:t>
      </w:r>
      <w:r w:rsidRPr="00FF59AE">
        <w:rPr>
          <w:b/>
          <w:sz w:val="24"/>
          <w:szCs w:val="24"/>
          <w:u w:val="single"/>
          <w:lang w:val="en-US"/>
        </w:rPr>
        <w:t>COMPETITION LAW</w:t>
      </w:r>
      <w:r>
        <w:rPr>
          <w:b/>
          <w:sz w:val="24"/>
          <w:szCs w:val="24"/>
          <w:u w:val="single"/>
          <w:lang w:val="en-US"/>
        </w:rPr>
        <w:t>”</w:t>
      </w:r>
      <w:r w:rsidRPr="00FF59AE">
        <w:rPr>
          <w:b/>
          <w:sz w:val="24"/>
          <w:szCs w:val="24"/>
          <w:u w:val="single"/>
          <w:lang w:val="en-US"/>
        </w:rPr>
        <w:t xml:space="preserve"> COURSE</w:t>
      </w:r>
    </w:p>
    <w:p w:rsidR="00FF59AE" w:rsidRPr="00FF59AE" w:rsidRDefault="00FF59AE" w:rsidP="00FF59AE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FF59AE">
        <w:rPr>
          <w:b/>
          <w:sz w:val="24"/>
          <w:szCs w:val="24"/>
          <w:u w:val="single"/>
          <w:lang w:val="en-US"/>
        </w:rPr>
        <w:t>ERASMUS PROGRAM</w:t>
      </w:r>
    </w:p>
    <w:p w:rsidR="00FF59AE" w:rsidRPr="00FF59AE" w:rsidRDefault="00FF59AE" w:rsidP="00FF59AE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FF59AE">
        <w:rPr>
          <w:b/>
          <w:sz w:val="24"/>
          <w:szCs w:val="24"/>
          <w:u w:val="single"/>
          <w:lang w:val="en-US"/>
        </w:rPr>
        <w:t>UNIVERSITY OF ATHENS, SCHOOL OF LAW</w:t>
      </w:r>
    </w:p>
    <w:p w:rsidR="00FF59AE" w:rsidRDefault="00FF59AE" w:rsidP="00FF59AE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  <w:r w:rsidRPr="00FF59AE">
        <w:rPr>
          <w:b/>
          <w:sz w:val="24"/>
          <w:szCs w:val="24"/>
          <w:u w:val="single"/>
          <w:lang w:val="en-US"/>
        </w:rPr>
        <w:t>ACADEMIC YEAR 202</w:t>
      </w:r>
      <w:r w:rsidR="00947EC3">
        <w:rPr>
          <w:b/>
          <w:sz w:val="24"/>
          <w:szCs w:val="24"/>
          <w:u w:val="single"/>
          <w:lang w:val="en-US"/>
        </w:rPr>
        <w:t>1</w:t>
      </w:r>
      <w:r w:rsidRPr="00FF59AE">
        <w:rPr>
          <w:b/>
          <w:sz w:val="24"/>
          <w:szCs w:val="24"/>
          <w:u w:val="single"/>
          <w:lang w:val="en-US"/>
        </w:rPr>
        <w:t>-202</w:t>
      </w:r>
      <w:r w:rsidR="00947EC3">
        <w:rPr>
          <w:b/>
          <w:sz w:val="24"/>
          <w:szCs w:val="24"/>
          <w:u w:val="single"/>
          <w:lang w:val="en-US"/>
        </w:rPr>
        <w:t>2</w:t>
      </w:r>
    </w:p>
    <w:p w:rsidR="00FF59AE" w:rsidRDefault="00FF59AE" w:rsidP="00FF59AE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Ass. Professor E.P. Mastromanolis</w:t>
      </w:r>
    </w:p>
    <w:p w:rsidR="00FF59AE" w:rsidRDefault="00FF59AE" w:rsidP="00FF59AE">
      <w:pPr>
        <w:spacing w:line="240" w:lineRule="auto"/>
        <w:jc w:val="center"/>
        <w:rPr>
          <w:b/>
          <w:sz w:val="24"/>
          <w:szCs w:val="24"/>
          <w:u w:val="single"/>
          <w:lang w:val="en-US"/>
        </w:rPr>
      </w:pPr>
    </w:p>
    <w:p w:rsidR="006D18BC" w:rsidRDefault="00FF59AE" w:rsidP="00FF59A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Due to the COVID-19 pandemic and the limited attendance, this year Erasmus students </w:t>
      </w:r>
      <w:proofErr w:type="gramStart"/>
      <w:r>
        <w:rPr>
          <w:sz w:val="24"/>
          <w:szCs w:val="24"/>
          <w:lang w:val="en-US"/>
        </w:rPr>
        <w:t>enroll</w:t>
      </w:r>
      <w:r w:rsidR="0039273E">
        <w:rPr>
          <w:sz w:val="24"/>
          <w:szCs w:val="24"/>
          <w:lang w:val="en-US"/>
        </w:rPr>
        <w:t xml:space="preserve">ing </w:t>
      </w:r>
      <w:r>
        <w:rPr>
          <w:sz w:val="24"/>
          <w:szCs w:val="24"/>
          <w:lang w:val="en-US"/>
        </w:rPr>
        <w:t xml:space="preserve"> in</w:t>
      </w:r>
      <w:proofErr w:type="gramEnd"/>
      <w:r>
        <w:rPr>
          <w:sz w:val="24"/>
          <w:szCs w:val="24"/>
          <w:lang w:val="en-US"/>
        </w:rPr>
        <w:t xml:space="preserve"> the </w:t>
      </w:r>
      <w:r w:rsidR="0039273E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Competition Law</w:t>
      </w:r>
      <w:r w:rsidR="0039273E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course will be required to submit a paper </w:t>
      </w:r>
      <w:r w:rsidRPr="0039273E">
        <w:rPr>
          <w:i/>
          <w:sz w:val="24"/>
          <w:szCs w:val="24"/>
          <w:lang w:val="en-US"/>
        </w:rPr>
        <w:t xml:space="preserve">in lieu of </w:t>
      </w:r>
      <w:r w:rsidR="006D18BC">
        <w:rPr>
          <w:sz w:val="24"/>
          <w:szCs w:val="24"/>
          <w:lang w:val="en-US"/>
        </w:rPr>
        <w:t>participating</w:t>
      </w:r>
      <w:r>
        <w:rPr>
          <w:sz w:val="24"/>
          <w:szCs w:val="24"/>
          <w:lang w:val="en-US"/>
        </w:rPr>
        <w:t xml:space="preserve"> in class</w:t>
      </w:r>
      <w:r w:rsidR="006D18BC">
        <w:rPr>
          <w:sz w:val="24"/>
          <w:szCs w:val="24"/>
          <w:lang w:val="en-US"/>
        </w:rPr>
        <w:t>es</w:t>
      </w:r>
      <w:r>
        <w:rPr>
          <w:sz w:val="24"/>
          <w:szCs w:val="24"/>
          <w:lang w:val="en-US"/>
        </w:rPr>
        <w:t xml:space="preserve"> and</w:t>
      </w:r>
      <w:r w:rsidR="006D18BC">
        <w:rPr>
          <w:sz w:val="24"/>
          <w:szCs w:val="24"/>
          <w:lang w:val="en-US"/>
        </w:rPr>
        <w:t xml:space="preserve"> taking a written exam at the end of the fall semester.</w:t>
      </w:r>
    </w:p>
    <w:p w:rsidR="008043D1" w:rsidRDefault="008043D1" w:rsidP="008043D1">
      <w:pPr>
        <w:pStyle w:val="a3"/>
        <w:spacing w:line="240" w:lineRule="auto"/>
        <w:rPr>
          <w:sz w:val="24"/>
          <w:szCs w:val="24"/>
          <w:lang w:val="en-US"/>
        </w:rPr>
      </w:pPr>
    </w:p>
    <w:p w:rsidR="00FF59AE" w:rsidRDefault="006D18BC" w:rsidP="00FF59A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6D18BC">
        <w:rPr>
          <w:sz w:val="24"/>
          <w:szCs w:val="24"/>
          <w:lang w:val="en-US"/>
        </w:rPr>
        <w:t xml:space="preserve">Students should contact Ass. Professor Mastromanolis at email address </w:t>
      </w:r>
      <w:r w:rsidR="006F4C82">
        <w:fldChar w:fldCharType="begin"/>
      </w:r>
      <w:r w:rsidR="006F4C82" w:rsidRPr="006F4C82">
        <w:rPr>
          <w:lang w:val="en-US"/>
        </w:rPr>
        <w:instrText xml:space="preserve"> HYPERLINK "mailto:emastrom@law.uoa.gr" </w:instrText>
      </w:r>
      <w:r w:rsidR="006F4C82">
        <w:fldChar w:fldCharType="separate"/>
      </w:r>
      <w:r w:rsidRPr="006D18BC">
        <w:rPr>
          <w:rStyle w:val="-"/>
          <w:sz w:val="24"/>
          <w:szCs w:val="24"/>
          <w:lang w:val="en-US"/>
        </w:rPr>
        <w:t>emastrom@law.uoa.gr</w:t>
      </w:r>
      <w:r w:rsidR="006F4C82">
        <w:rPr>
          <w:rStyle w:val="-"/>
          <w:sz w:val="24"/>
          <w:szCs w:val="24"/>
          <w:lang w:val="en-US"/>
        </w:rPr>
        <w:fldChar w:fldCharType="end"/>
      </w:r>
      <w:r w:rsidRPr="006D18BC">
        <w:rPr>
          <w:sz w:val="24"/>
          <w:szCs w:val="24"/>
          <w:lang w:val="en-US"/>
        </w:rPr>
        <w:t xml:space="preserve">, indicating their interest to select the course as well </w:t>
      </w:r>
      <w:proofErr w:type="gramStart"/>
      <w:r w:rsidRPr="006D18BC">
        <w:rPr>
          <w:sz w:val="24"/>
          <w:szCs w:val="24"/>
          <w:lang w:val="en-US"/>
        </w:rPr>
        <w:t xml:space="preserve">as </w:t>
      </w:r>
      <w:r w:rsidR="0039273E">
        <w:rPr>
          <w:sz w:val="24"/>
          <w:szCs w:val="24"/>
          <w:lang w:val="en-US"/>
        </w:rPr>
        <w:t xml:space="preserve"> their</w:t>
      </w:r>
      <w:proofErr w:type="gramEnd"/>
      <w:r w:rsidR="0039273E">
        <w:rPr>
          <w:sz w:val="24"/>
          <w:szCs w:val="24"/>
          <w:lang w:val="en-US"/>
        </w:rPr>
        <w:t xml:space="preserve"> </w:t>
      </w:r>
      <w:r w:rsidRPr="006D18BC">
        <w:rPr>
          <w:sz w:val="24"/>
          <w:szCs w:val="24"/>
          <w:lang w:val="en-US"/>
        </w:rPr>
        <w:t xml:space="preserve">proposed topic of  paper no later than Friday, </w:t>
      </w:r>
      <w:r w:rsidR="00947EC3">
        <w:rPr>
          <w:sz w:val="24"/>
          <w:szCs w:val="24"/>
          <w:lang w:val="en-US"/>
        </w:rPr>
        <w:t>22</w:t>
      </w:r>
      <w:r w:rsidRPr="006D18BC">
        <w:rPr>
          <w:sz w:val="24"/>
          <w:szCs w:val="24"/>
          <w:lang w:val="en-US"/>
        </w:rPr>
        <w:t xml:space="preserve"> October. A skype call will then be set up during the </w:t>
      </w:r>
      <w:r>
        <w:rPr>
          <w:sz w:val="24"/>
          <w:szCs w:val="24"/>
          <w:lang w:val="en-US"/>
        </w:rPr>
        <w:t>last</w:t>
      </w:r>
      <w:r w:rsidRPr="006D18BC">
        <w:rPr>
          <w:sz w:val="24"/>
          <w:szCs w:val="24"/>
          <w:lang w:val="en-US"/>
        </w:rPr>
        <w:t xml:space="preserve"> week of </w:t>
      </w:r>
      <w:r>
        <w:rPr>
          <w:sz w:val="24"/>
          <w:szCs w:val="24"/>
          <w:lang w:val="en-US"/>
        </w:rPr>
        <w:t>October</w:t>
      </w:r>
      <w:r w:rsidRPr="006D18BC">
        <w:rPr>
          <w:sz w:val="24"/>
          <w:szCs w:val="24"/>
          <w:lang w:val="en-US"/>
        </w:rPr>
        <w:t xml:space="preserve"> with all interested students, in order to discuss the proposed topics and provide instructions </w:t>
      </w:r>
      <w:r>
        <w:rPr>
          <w:sz w:val="24"/>
          <w:szCs w:val="24"/>
          <w:lang w:val="en-US"/>
        </w:rPr>
        <w:t xml:space="preserve">or adjustments, as deemed necessary. </w:t>
      </w:r>
      <w:r w:rsidR="0039273E">
        <w:rPr>
          <w:sz w:val="24"/>
          <w:szCs w:val="24"/>
          <w:lang w:val="en-US"/>
        </w:rPr>
        <w:t>Following the call, e</w:t>
      </w:r>
      <w:r>
        <w:rPr>
          <w:sz w:val="24"/>
          <w:szCs w:val="24"/>
          <w:lang w:val="en-US"/>
        </w:rPr>
        <w:t xml:space="preserve">ach student will </w:t>
      </w:r>
      <w:r w:rsidR="0039273E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e required to revert with a detailed plan of his/her paper as well as indicative bibliography by Friday, 1</w:t>
      </w:r>
      <w:r w:rsidR="00947EC3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 xml:space="preserve"> November.</w:t>
      </w:r>
      <w:r w:rsidR="0039273E">
        <w:rPr>
          <w:sz w:val="24"/>
          <w:szCs w:val="24"/>
          <w:lang w:val="en-US"/>
        </w:rPr>
        <w:t xml:space="preserve"> Submission of the papers will be due by Friday, 2</w:t>
      </w:r>
      <w:r w:rsidR="00947EC3">
        <w:rPr>
          <w:sz w:val="24"/>
          <w:szCs w:val="24"/>
          <w:lang w:val="en-US"/>
        </w:rPr>
        <w:t>8</w:t>
      </w:r>
      <w:r w:rsidR="0039273E">
        <w:rPr>
          <w:sz w:val="24"/>
          <w:szCs w:val="24"/>
          <w:lang w:val="en-US"/>
        </w:rPr>
        <w:t xml:space="preserve"> January  202</w:t>
      </w:r>
      <w:r w:rsidR="00947EC3">
        <w:rPr>
          <w:sz w:val="24"/>
          <w:szCs w:val="24"/>
          <w:lang w:val="en-US"/>
        </w:rPr>
        <w:t>2</w:t>
      </w:r>
      <w:r w:rsidR="0039273E">
        <w:rPr>
          <w:sz w:val="24"/>
          <w:szCs w:val="24"/>
          <w:lang w:val="en-US"/>
        </w:rPr>
        <w:t>.</w:t>
      </w:r>
    </w:p>
    <w:p w:rsidR="008043D1" w:rsidRPr="008043D1" w:rsidRDefault="008043D1" w:rsidP="008043D1">
      <w:pPr>
        <w:pStyle w:val="a3"/>
        <w:rPr>
          <w:sz w:val="24"/>
          <w:szCs w:val="24"/>
          <w:lang w:val="en-US"/>
        </w:rPr>
      </w:pPr>
    </w:p>
    <w:p w:rsidR="008043D1" w:rsidRDefault="008043D1" w:rsidP="00FF59A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6D18BC">
        <w:rPr>
          <w:sz w:val="24"/>
          <w:szCs w:val="24"/>
          <w:lang w:val="en-US"/>
        </w:rPr>
        <w:t xml:space="preserve">tudents may choose one of </w:t>
      </w:r>
      <w:proofErr w:type="gramStart"/>
      <w:r w:rsidR="006D18BC">
        <w:rPr>
          <w:sz w:val="24"/>
          <w:szCs w:val="24"/>
          <w:lang w:val="en-US"/>
        </w:rPr>
        <w:t xml:space="preserve">the </w:t>
      </w:r>
      <w:r w:rsidR="00A109FE">
        <w:rPr>
          <w:sz w:val="24"/>
          <w:szCs w:val="24"/>
          <w:lang w:val="en-US"/>
        </w:rPr>
        <w:t xml:space="preserve"> EU</w:t>
      </w:r>
      <w:proofErr w:type="gramEnd"/>
      <w:r w:rsidR="00A109FE">
        <w:rPr>
          <w:sz w:val="24"/>
          <w:szCs w:val="24"/>
          <w:lang w:val="en-US"/>
        </w:rPr>
        <w:t xml:space="preserve"> Competition Law </w:t>
      </w:r>
      <w:r w:rsidR="006D18BC">
        <w:rPr>
          <w:sz w:val="24"/>
          <w:szCs w:val="24"/>
          <w:lang w:val="en-US"/>
        </w:rPr>
        <w:t>topics listed below</w:t>
      </w:r>
      <w:r w:rsidR="0039273E">
        <w:rPr>
          <w:sz w:val="24"/>
          <w:szCs w:val="24"/>
          <w:lang w:val="en-US"/>
        </w:rPr>
        <w:t xml:space="preserve"> under (4)</w:t>
      </w:r>
      <w:r w:rsidR="006D18BC">
        <w:rPr>
          <w:sz w:val="24"/>
          <w:szCs w:val="24"/>
          <w:lang w:val="en-US"/>
        </w:rPr>
        <w:t xml:space="preserve">, or a topic of their own. </w:t>
      </w:r>
      <w:r w:rsidR="00A109FE">
        <w:rPr>
          <w:sz w:val="24"/>
          <w:szCs w:val="24"/>
          <w:lang w:val="en-US"/>
        </w:rPr>
        <w:t xml:space="preserve">In the previous years, some Erasmus students have found it useful to explore their topics in comparative perspective to the approaches followed </w:t>
      </w:r>
      <w:r w:rsidR="0039273E">
        <w:rPr>
          <w:sz w:val="24"/>
          <w:szCs w:val="24"/>
          <w:lang w:val="en-US"/>
        </w:rPr>
        <w:t>in</w:t>
      </w:r>
      <w:r w:rsidR="00A109FE">
        <w:rPr>
          <w:sz w:val="24"/>
          <w:szCs w:val="24"/>
          <w:lang w:val="en-US"/>
        </w:rPr>
        <w:t xml:space="preserve"> the legal systems of their country of origin. This option </w:t>
      </w:r>
      <w:proofErr w:type="gramStart"/>
      <w:r w:rsidR="00A109FE">
        <w:rPr>
          <w:sz w:val="24"/>
          <w:szCs w:val="24"/>
          <w:lang w:val="en-US"/>
        </w:rPr>
        <w:t>is  open</w:t>
      </w:r>
      <w:proofErr w:type="gramEnd"/>
      <w:r w:rsidR="00A109FE">
        <w:rPr>
          <w:sz w:val="24"/>
          <w:szCs w:val="24"/>
          <w:lang w:val="en-US"/>
        </w:rPr>
        <w:t xml:space="preserve"> to those interested</w:t>
      </w:r>
      <w:r w:rsidR="0039273E">
        <w:rPr>
          <w:sz w:val="24"/>
          <w:szCs w:val="24"/>
          <w:lang w:val="en-US"/>
        </w:rPr>
        <w:t xml:space="preserve"> also this year</w:t>
      </w:r>
      <w:r w:rsidR="00A109FE">
        <w:rPr>
          <w:sz w:val="24"/>
          <w:szCs w:val="24"/>
          <w:lang w:val="en-US"/>
        </w:rPr>
        <w:t xml:space="preserve">. </w:t>
      </w:r>
    </w:p>
    <w:p w:rsidR="008043D1" w:rsidRPr="008043D1" w:rsidRDefault="008043D1" w:rsidP="008043D1">
      <w:pPr>
        <w:pStyle w:val="a3"/>
        <w:rPr>
          <w:sz w:val="24"/>
          <w:szCs w:val="24"/>
          <w:lang w:val="en-US"/>
        </w:rPr>
      </w:pPr>
    </w:p>
    <w:p w:rsidR="006D18BC" w:rsidRDefault="006D18BC" w:rsidP="00FF59A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topics proposed to students are the following:</w:t>
      </w:r>
    </w:p>
    <w:p w:rsidR="00A109FE" w:rsidRDefault="00A109FE" w:rsidP="00A109F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Modalities of exchange of information between competitors and their evaluation under the EU Competition rules</w:t>
      </w:r>
    </w:p>
    <w:p w:rsidR="00A109FE" w:rsidRDefault="00A109FE" w:rsidP="00A109F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Algorithms as a medium </w:t>
      </w:r>
      <w:r w:rsidR="0039273E">
        <w:rPr>
          <w:sz w:val="24"/>
          <w:szCs w:val="24"/>
          <w:lang w:val="en-US"/>
        </w:rPr>
        <w:t>of collusion</w:t>
      </w:r>
    </w:p>
    <w:p w:rsidR="00A109FE" w:rsidRDefault="00A109FE" w:rsidP="00A109F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E-commerce and vertical agreements</w:t>
      </w:r>
      <w:r w:rsidR="0039273E">
        <w:rPr>
          <w:sz w:val="24"/>
          <w:szCs w:val="24"/>
          <w:lang w:val="en-US"/>
        </w:rPr>
        <w:t>: the current</w:t>
      </w:r>
      <w:r>
        <w:rPr>
          <w:sz w:val="24"/>
          <w:szCs w:val="24"/>
          <w:lang w:val="en-US"/>
        </w:rPr>
        <w:t xml:space="preserve"> EU competition rules</w:t>
      </w:r>
      <w:r w:rsidR="0039273E">
        <w:rPr>
          <w:sz w:val="24"/>
          <w:szCs w:val="24"/>
          <w:lang w:val="en-US"/>
        </w:rPr>
        <w:t xml:space="preserve"> and anticipated legislative developments</w:t>
      </w:r>
    </w:p>
    <w:p w:rsidR="00D05920" w:rsidRDefault="00D05920" w:rsidP="00A109F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Intellectual property licensing and </w:t>
      </w:r>
      <w:r w:rsidR="008043D1">
        <w:rPr>
          <w:sz w:val="24"/>
          <w:szCs w:val="24"/>
          <w:lang w:val="en-US"/>
        </w:rPr>
        <w:t xml:space="preserve">EU </w:t>
      </w:r>
      <w:r>
        <w:rPr>
          <w:sz w:val="24"/>
          <w:szCs w:val="24"/>
          <w:lang w:val="en-US"/>
        </w:rPr>
        <w:t xml:space="preserve">Regulation </w:t>
      </w:r>
      <w:r w:rsidR="008043D1">
        <w:rPr>
          <w:sz w:val="24"/>
          <w:szCs w:val="24"/>
          <w:lang w:val="en-US"/>
        </w:rPr>
        <w:t>316/2014</w:t>
      </w:r>
    </w:p>
    <w:p w:rsidR="004C4FD2" w:rsidRDefault="004C4FD2" w:rsidP="00A109F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“Most Favored Nation” (MFN) clauses under the lens of Article 101 TFEU  </w:t>
      </w:r>
    </w:p>
    <w:p w:rsidR="00A109FE" w:rsidRDefault="00A109FE" w:rsidP="00A109F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The new economic approach in EU Competition</w:t>
      </w:r>
      <w:r w:rsidR="0039273E">
        <w:rPr>
          <w:sz w:val="24"/>
          <w:szCs w:val="24"/>
          <w:lang w:val="en-US"/>
        </w:rPr>
        <w:t xml:space="preserve"> Law</w:t>
      </w:r>
      <w:r>
        <w:rPr>
          <w:sz w:val="24"/>
          <w:szCs w:val="24"/>
          <w:lang w:val="en-US"/>
        </w:rPr>
        <w:t>: the “effects-based” approach and the “as efficient competitor test” in the respective Art. 101 and 102 TFEU analyses</w:t>
      </w:r>
    </w:p>
    <w:p w:rsidR="002C35BC" w:rsidRDefault="002C35BC" w:rsidP="00A109F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Excessive pricing as an abuse of dominant position: problems of definition</w:t>
      </w:r>
    </w:p>
    <w:p w:rsidR="002C35BC" w:rsidRDefault="002C35BC" w:rsidP="00A109FE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Big data as an exclusionary device</w:t>
      </w:r>
    </w:p>
    <w:p w:rsidR="002C35BC" w:rsidRPr="008043D1" w:rsidRDefault="002C35BC" w:rsidP="00A109FE">
      <w:pPr>
        <w:pStyle w:val="a3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The basic parameters of the </w:t>
      </w:r>
      <w:r w:rsidRPr="002C35BC">
        <w:rPr>
          <w:rFonts w:cs="Segoe UI"/>
          <w:i/>
          <w:color w:val="000000" w:themeColor="text1"/>
          <w:sz w:val="24"/>
          <w:szCs w:val="24"/>
          <w:shd w:val="clear" w:color="auto" w:fill="FFFFFF"/>
          <w:lang w:val="en-US"/>
        </w:rPr>
        <w:t>Guidance on the EU Commission's enforcement priorities in applying Article 82 of the EC Treaty to abusive exclusionary conduct by dominant undertakings</w:t>
      </w:r>
    </w:p>
    <w:p w:rsidR="008043D1" w:rsidRPr="00D05920" w:rsidRDefault="008043D1" w:rsidP="00A109FE">
      <w:pPr>
        <w:pStyle w:val="a3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Attributing liability to a parent for its subsidiary’s anticompetitive conduct</w:t>
      </w:r>
    </w:p>
    <w:p w:rsidR="00D05920" w:rsidRPr="00D05920" w:rsidRDefault="00D05920" w:rsidP="00A109FE">
      <w:pPr>
        <w:pStyle w:val="a3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Acquisition of control via minority shareholdings</w:t>
      </w:r>
    </w:p>
    <w:p w:rsidR="00D05920" w:rsidRDefault="00D05920" w:rsidP="00A109FE">
      <w:pPr>
        <w:pStyle w:val="a3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Commitments </w:t>
      </w:r>
      <w:proofErr w:type="gramStart"/>
      <w:r>
        <w:rPr>
          <w:color w:val="000000" w:themeColor="text1"/>
          <w:sz w:val="24"/>
          <w:szCs w:val="24"/>
          <w:lang w:val="en-US"/>
        </w:rPr>
        <w:t>as  remedy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for art. 101 TFEU infringements: procedure and effects</w:t>
      </w:r>
    </w:p>
    <w:p w:rsidR="00D05920" w:rsidRPr="002C35BC" w:rsidRDefault="00D05920" w:rsidP="00A109FE">
      <w:pPr>
        <w:pStyle w:val="a3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Conditions to clearance of a concentration: the rules and the jurisprudence</w:t>
      </w:r>
    </w:p>
    <w:p w:rsidR="002C35BC" w:rsidRPr="002C35BC" w:rsidRDefault="002C35BC" w:rsidP="00A109FE">
      <w:pPr>
        <w:pStyle w:val="a3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Quantification of damages due to competition law infringements: the EU Commission’s views and proposed methodologies</w:t>
      </w:r>
    </w:p>
    <w:p w:rsidR="002C35BC" w:rsidRPr="00D05920" w:rsidRDefault="002C35BC" w:rsidP="00A109FE">
      <w:pPr>
        <w:pStyle w:val="a3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Directive 2014/104/EU and facilitation of damage actions due to competition law infringements</w:t>
      </w:r>
    </w:p>
    <w:p w:rsidR="00D05920" w:rsidRPr="0039273E" w:rsidRDefault="00D05920" w:rsidP="00A109FE">
      <w:pPr>
        <w:pStyle w:val="a3"/>
        <w:numPr>
          <w:ilvl w:val="0"/>
          <w:numId w:val="2"/>
        </w:numPr>
        <w:spacing w:line="240" w:lineRule="auto"/>
        <w:rPr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Joints ventures in the energy sector under EU Competition Law</w:t>
      </w:r>
    </w:p>
    <w:p w:rsidR="0039273E" w:rsidRPr="0039273E" w:rsidRDefault="0039273E" w:rsidP="0039273E">
      <w:pPr>
        <w:spacing w:line="240" w:lineRule="auto"/>
        <w:ind w:left="72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The topics will be assigned on a first-come-first-served basis.</w:t>
      </w:r>
    </w:p>
    <w:p w:rsidR="008043D1" w:rsidRDefault="008043D1" w:rsidP="008043D1">
      <w:pPr>
        <w:pStyle w:val="a3"/>
        <w:spacing w:line="240" w:lineRule="auto"/>
        <w:ind w:left="1080"/>
        <w:rPr>
          <w:sz w:val="24"/>
          <w:szCs w:val="24"/>
          <w:lang w:val="en-US"/>
        </w:rPr>
      </w:pPr>
    </w:p>
    <w:p w:rsidR="006D18BC" w:rsidRDefault="00A109FE" w:rsidP="00FF59A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General EU Competition Law textbooks comprise the following:</w:t>
      </w:r>
    </w:p>
    <w:p w:rsidR="008043D1" w:rsidRDefault="008043D1" w:rsidP="008043D1">
      <w:pPr>
        <w:pStyle w:val="a3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(a)E. Fox/</w:t>
      </w:r>
      <w:proofErr w:type="spellStart"/>
      <w:r>
        <w:rPr>
          <w:sz w:val="24"/>
          <w:szCs w:val="24"/>
          <w:lang w:val="en-US"/>
        </w:rPr>
        <w:t>D.Gerard</w:t>
      </w:r>
      <w:proofErr w:type="spellEnd"/>
      <w:r>
        <w:rPr>
          <w:sz w:val="24"/>
          <w:szCs w:val="24"/>
          <w:lang w:val="en-US"/>
        </w:rPr>
        <w:t>, EU Competition Law (Elgar 2017)</w:t>
      </w:r>
    </w:p>
    <w:p w:rsidR="008043D1" w:rsidRDefault="008043D1" w:rsidP="008043D1">
      <w:pPr>
        <w:pStyle w:val="a3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(b) Bellamy &amp; Child, European Union Law of Competition (8</w:t>
      </w:r>
      <w:r w:rsidRPr="008043D1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ed. Oxford 2018)</w:t>
      </w:r>
    </w:p>
    <w:p w:rsidR="008043D1" w:rsidRDefault="008043D1" w:rsidP="008043D1">
      <w:pPr>
        <w:pStyle w:val="a3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(c) Whish/Bailey, Competition Law (9</w:t>
      </w:r>
      <w:r w:rsidRPr="008043D1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ed. Oxford 2018)</w:t>
      </w:r>
    </w:p>
    <w:p w:rsidR="008043D1" w:rsidRDefault="008043D1" w:rsidP="008043D1">
      <w:pPr>
        <w:pStyle w:val="a3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(d) Jones/ </w:t>
      </w:r>
      <w:proofErr w:type="spellStart"/>
      <w:r>
        <w:rPr>
          <w:sz w:val="24"/>
          <w:szCs w:val="24"/>
          <w:lang w:val="en-US"/>
        </w:rPr>
        <w:t>Sufrin</w:t>
      </w:r>
      <w:proofErr w:type="spellEnd"/>
      <w:r>
        <w:rPr>
          <w:sz w:val="24"/>
          <w:szCs w:val="24"/>
          <w:lang w:val="en-US"/>
        </w:rPr>
        <w:t>, EU Competition Law (7</w:t>
      </w:r>
      <w:r w:rsidRPr="008043D1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ed. Oxford 2019)</w:t>
      </w:r>
    </w:p>
    <w:p w:rsidR="008043D1" w:rsidRPr="008043D1" w:rsidRDefault="008043D1" w:rsidP="008043D1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6. The syllabus of last year’s course is hereby attached in electronic form.</w:t>
      </w:r>
    </w:p>
    <w:p w:rsidR="008043D1" w:rsidRPr="008043D1" w:rsidRDefault="008043D1" w:rsidP="008043D1">
      <w:pPr>
        <w:spacing w:line="240" w:lineRule="auto"/>
        <w:rPr>
          <w:sz w:val="24"/>
          <w:szCs w:val="24"/>
          <w:lang w:val="en-US"/>
        </w:rPr>
      </w:pPr>
    </w:p>
    <w:p w:rsidR="00A109FE" w:rsidRPr="00FF59AE" w:rsidRDefault="00A109FE" w:rsidP="00A109FE">
      <w:pPr>
        <w:pStyle w:val="a3"/>
        <w:spacing w:line="240" w:lineRule="auto"/>
        <w:rPr>
          <w:sz w:val="24"/>
          <w:szCs w:val="24"/>
          <w:lang w:val="en-US"/>
        </w:rPr>
      </w:pPr>
    </w:p>
    <w:sectPr w:rsidR="00A109FE" w:rsidRPr="00FF59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4C2"/>
    <w:multiLevelType w:val="hybridMultilevel"/>
    <w:tmpl w:val="9852074E"/>
    <w:lvl w:ilvl="0" w:tplc="E84893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B1F8B"/>
    <w:multiLevelType w:val="hybridMultilevel"/>
    <w:tmpl w:val="8222DD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AE"/>
    <w:rsid w:val="000A54F0"/>
    <w:rsid w:val="002C35BC"/>
    <w:rsid w:val="0039273E"/>
    <w:rsid w:val="004C4FD2"/>
    <w:rsid w:val="006D18BC"/>
    <w:rsid w:val="006F4C82"/>
    <w:rsid w:val="008043D1"/>
    <w:rsid w:val="00947EC3"/>
    <w:rsid w:val="00A109FE"/>
    <w:rsid w:val="00D05920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A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D18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A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D1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athina</cp:lastModifiedBy>
  <cp:revision>2</cp:revision>
  <dcterms:created xsi:type="dcterms:W3CDTF">2021-09-28T08:50:00Z</dcterms:created>
  <dcterms:modified xsi:type="dcterms:W3CDTF">2021-09-28T08:50:00Z</dcterms:modified>
</cp:coreProperties>
</file>