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CA30" w14:textId="7882E330" w:rsidR="00D55C0D" w:rsidRPr="00CA12CB" w:rsidRDefault="00D55C0D" w:rsidP="00CA359F">
      <w:pPr>
        <w:pStyle w:val="-HTML"/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567" w:rsidRPr="00CA12CB" w14:paraId="59F8E708" w14:textId="77777777" w:rsidTr="00D3456E">
        <w:tc>
          <w:tcPr>
            <w:tcW w:w="4675" w:type="dxa"/>
          </w:tcPr>
          <w:p w14:paraId="65E8A105" w14:textId="5BA8F65D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S</w:t>
            </w:r>
            <w:r w:rsidR="00D55C0D" w:rsidRPr="00CA12CB">
              <w:rPr>
                <w:rFonts w:ascii="Arial" w:hAnsi="Arial" w:cs="Arial"/>
                <w:sz w:val="24"/>
                <w:szCs w:val="24"/>
              </w:rPr>
              <w:t>tudent</w:t>
            </w:r>
          </w:p>
        </w:tc>
        <w:tc>
          <w:tcPr>
            <w:tcW w:w="4675" w:type="dxa"/>
          </w:tcPr>
          <w:p w14:paraId="287635C1" w14:textId="31A5E121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T</w:t>
            </w:r>
            <w:r w:rsidR="00D55C0D" w:rsidRPr="00CA12CB">
              <w:rPr>
                <w:rFonts w:ascii="Arial" w:hAnsi="Arial" w:cs="Arial"/>
                <w:sz w:val="24"/>
                <w:szCs w:val="24"/>
              </w:rPr>
              <w:t>opic</w:t>
            </w:r>
          </w:p>
        </w:tc>
      </w:tr>
      <w:tr w:rsidR="00D55567" w:rsidRPr="00CA12CB" w14:paraId="539787FD" w14:textId="77777777" w:rsidTr="00D3456E">
        <w:tc>
          <w:tcPr>
            <w:tcW w:w="4675" w:type="dxa"/>
          </w:tcPr>
          <w:p w14:paraId="3CC40768" w14:textId="58C06DEA" w:rsidR="00D55C0D" w:rsidRPr="00CA12CB" w:rsidRDefault="00D55C0D" w:rsidP="00D3456E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Cyrielle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M</w:t>
            </w:r>
            <w:r w:rsidR="00D3456E" w:rsidRPr="00CA12CB">
              <w:rPr>
                <w:rFonts w:ascii="Arial" w:hAnsi="Arial" w:cs="Arial"/>
                <w:sz w:val="24"/>
                <w:szCs w:val="24"/>
              </w:rPr>
              <w:t>orfaut</w:t>
            </w:r>
            <w:proofErr w:type="spellEnd"/>
          </w:p>
        </w:tc>
        <w:tc>
          <w:tcPr>
            <w:tcW w:w="4675" w:type="dxa"/>
          </w:tcPr>
          <w:p w14:paraId="475CF108" w14:textId="78FD6386" w:rsidR="00D55C0D" w:rsidRPr="00CA12CB" w:rsidRDefault="00D55C0D" w:rsidP="005739C5">
            <w:pPr>
              <w:pStyle w:val="-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 xml:space="preserve">The new economic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approch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</w:rPr>
              <w:t xml:space="preserve"> in EU Competition Law: The "effects-based"</w:t>
            </w:r>
            <w:r w:rsidR="005739C5"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2CB">
              <w:rPr>
                <w:rFonts w:ascii="Arial" w:hAnsi="Arial" w:cs="Arial"/>
                <w:sz w:val="24"/>
                <w:szCs w:val="24"/>
              </w:rPr>
              <w:t>approach and the "as efficient competitor test" in the respective Art.101</w:t>
            </w:r>
            <w:r w:rsidR="005739C5"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2CB">
              <w:rPr>
                <w:rFonts w:ascii="Arial" w:hAnsi="Arial" w:cs="Arial"/>
                <w:sz w:val="24"/>
                <w:szCs w:val="24"/>
              </w:rPr>
              <w:t>and 102 TFEU analyses</w:t>
            </w:r>
          </w:p>
        </w:tc>
      </w:tr>
      <w:tr w:rsidR="00D55567" w:rsidRPr="00CA12CB" w14:paraId="07073447" w14:textId="77777777" w:rsidTr="00D3456E">
        <w:tc>
          <w:tcPr>
            <w:tcW w:w="4675" w:type="dxa"/>
          </w:tcPr>
          <w:p w14:paraId="7748C4B5" w14:textId="476AC4BC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Paul Hollmann-Perin</w:t>
            </w:r>
          </w:p>
        </w:tc>
        <w:tc>
          <w:tcPr>
            <w:tcW w:w="4675" w:type="dxa"/>
          </w:tcPr>
          <w:p w14:paraId="3DAF3EC1" w14:textId="56883682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Acquisition of control via minority shareholding</w:t>
            </w:r>
          </w:p>
        </w:tc>
      </w:tr>
      <w:tr w:rsidR="00D55567" w:rsidRPr="00CA12CB" w14:paraId="2491574B" w14:textId="77777777" w:rsidTr="00D3456E">
        <w:tc>
          <w:tcPr>
            <w:tcW w:w="4675" w:type="dxa"/>
          </w:tcPr>
          <w:p w14:paraId="3A6D4A2E" w14:textId="7C8EA02B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Beatriz Rebollo Najera</w:t>
            </w:r>
          </w:p>
        </w:tc>
        <w:tc>
          <w:tcPr>
            <w:tcW w:w="4675" w:type="dxa"/>
          </w:tcPr>
          <w:p w14:paraId="0DC39E01" w14:textId="0DB27F8C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 xml:space="preserve">Attributing liability to a parent for its subsidiary’s anticompetitive </w:t>
            </w:r>
            <w:r w:rsidR="005739C5" w:rsidRPr="00CA12CB">
              <w:rPr>
                <w:rFonts w:ascii="Arial" w:hAnsi="Arial" w:cs="Arial"/>
                <w:sz w:val="24"/>
                <w:szCs w:val="24"/>
              </w:rPr>
              <w:t>c</w:t>
            </w:r>
            <w:r w:rsidRPr="00CA12CB">
              <w:rPr>
                <w:rFonts w:ascii="Arial" w:hAnsi="Arial" w:cs="Arial"/>
                <w:sz w:val="24"/>
                <w:szCs w:val="24"/>
              </w:rPr>
              <w:t>onduct</w:t>
            </w:r>
          </w:p>
        </w:tc>
      </w:tr>
      <w:tr w:rsidR="00D55567" w:rsidRPr="00CA12CB" w14:paraId="4166826A" w14:textId="77777777" w:rsidTr="00D3456E">
        <w:tc>
          <w:tcPr>
            <w:tcW w:w="4675" w:type="dxa"/>
          </w:tcPr>
          <w:p w14:paraId="76CEA44C" w14:textId="40F64C7C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Yohann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Guenne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081DF75" w14:textId="412F4403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Sustainability and competition law</w:t>
            </w:r>
          </w:p>
        </w:tc>
      </w:tr>
      <w:tr w:rsidR="00D55567" w:rsidRPr="00CA12CB" w14:paraId="31D1EEE2" w14:textId="77777777" w:rsidTr="00D3456E">
        <w:tc>
          <w:tcPr>
            <w:tcW w:w="4675" w:type="dxa"/>
          </w:tcPr>
          <w:p w14:paraId="14A6008A" w14:textId="6BA089B3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Francesca D’ Adamo</w:t>
            </w:r>
          </w:p>
        </w:tc>
        <w:tc>
          <w:tcPr>
            <w:tcW w:w="4675" w:type="dxa"/>
          </w:tcPr>
          <w:p w14:paraId="3F6F746A" w14:textId="3F30BA87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E-commerce and vertical restraints</w:t>
            </w:r>
          </w:p>
        </w:tc>
      </w:tr>
      <w:tr w:rsidR="00D55567" w:rsidRPr="00CA12CB" w14:paraId="5BBBECAC" w14:textId="77777777" w:rsidTr="00D3456E">
        <w:tc>
          <w:tcPr>
            <w:tcW w:w="4675" w:type="dxa"/>
          </w:tcPr>
          <w:p w14:paraId="5DC62EEA" w14:textId="3CF95CC0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Jani Dahlgren</w:t>
            </w:r>
          </w:p>
        </w:tc>
        <w:tc>
          <w:tcPr>
            <w:tcW w:w="4675" w:type="dxa"/>
          </w:tcPr>
          <w:p w14:paraId="1702A68B" w14:textId="1F54A91B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Algorithms as a medium of collusion</w:t>
            </w:r>
          </w:p>
        </w:tc>
      </w:tr>
      <w:tr w:rsidR="00D55567" w:rsidRPr="00CA12CB" w14:paraId="4F90DEE7" w14:textId="77777777" w:rsidTr="00D3456E">
        <w:tc>
          <w:tcPr>
            <w:tcW w:w="4675" w:type="dxa"/>
          </w:tcPr>
          <w:p w14:paraId="53737BF1" w14:textId="4DEE3A99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Robine Wille</w:t>
            </w:r>
          </w:p>
        </w:tc>
        <w:tc>
          <w:tcPr>
            <w:tcW w:w="4675" w:type="dxa"/>
          </w:tcPr>
          <w:p w14:paraId="1066B740" w14:textId="7E08F8EE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Big data as exclusionary device</w:t>
            </w:r>
          </w:p>
        </w:tc>
      </w:tr>
      <w:tr w:rsidR="00D55567" w:rsidRPr="00CA12CB" w14:paraId="02F1AC5E" w14:textId="77777777" w:rsidTr="00D3456E">
        <w:tc>
          <w:tcPr>
            <w:tcW w:w="4675" w:type="dxa"/>
          </w:tcPr>
          <w:p w14:paraId="03C416CB" w14:textId="65A45EA0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Lalie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Saillard</w:t>
            </w:r>
            <w:proofErr w:type="spellEnd"/>
          </w:p>
        </w:tc>
        <w:tc>
          <w:tcPr>
            <w:tcW w:w="4675" w:type="dxa"/>
          </w:tcPr>
          <w:p w14:paraId="14AB192E" w14:textId="478274CC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The Digital Markets Act (DMA) and competition law</w:t>
            </w:r>
          </w:p>
        </w:tc>
      </w:tr>
      <w:tr w:rsidR="00D55567" w:rsidRPr="00CA12CB" w14:paraId="0E7BC24E" w14:textId="77777777" w:rsidTr="00D3456E">
        <w:tc>
          <w:tcPr>
            <w:tcW w:w="4675" w:type="dxa"/>
          </w:tcPr>
          <w:p w14:paraId="0C6E3D89" w14:textId="4C0EA3E8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Lou – Ann Machut</w:t>
            </w:r>
          </w:p>
        </w:tc>
        <w:tc>
          <w:tcPr>
            <w:tcW w:w="4675" w:type="dxa"/>
          </w:tcPr>
          <w:p w14:paraId="7C3B6AC3" w14:textId="58F41FAC" w:rsidR="00D55C0D" w:rsidRPr="00CA12CB" w:rsidRDefault="005739C5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Excessive pricing as an abuse of dominant position: problems of definition</w:t>
            </w:r>
          </w:p>
        </w:tc>
      </w:tr>
      <w:tr w:rsidR="00D55567" w:rsidRPr="00CA12CB" w14:paraId="197CC088" w14:textId="77777777" w:rsidTr="00D3456E">
        <w:tc>
          <w:tcPr>
            <w:tcW w:w="4675" w:type="dxa"/>
          </w:tcPr>
          <w:p w14:paraId="3CD9DE43" w14:textId="1AEFF07A" w:rsidR="00D55C0D" w:rsidRPr="00CA12CB" w:rsidRDefault="00F242C4" w:rsidP="00D3456E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Baptiste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="00D3456E"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oirier</w:t>
            </w:r>
            <w:proofErr w:type="spellEnd"/>
          </w:p>
        </w:tc>
        <w:tc>
          <w:tcPr>
            <w:tcW w:w="4675" w:type="dxa"/>
          </w:tcPr>
          <w:p w14:paraId="0D308576" w14:textId="0C617421" w:rsidR="00D55C0D" w:rsidRPr="00CA12CB" w:rsidRDefault="00F242C4" w:rsidP="00F242C4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Directive 2014/104/EU and facilitation of damage actions due to competition law infringements</w:t>
            </w:r>
          </w:p>
        </w:tc>
      </w:tr>
      <w:tr w:rsidR="00D55567" w:rsidRPr="00CA12CB" w14:paraId="77B8A001" w14:textId="77777777" w:rsidTr="00D3456E">
        <w:tc>
          <w:tcPr>
            <w:tcW w:w="4675" w:type="dxa"/>
          </w:tcPr>
          <w:p w14:paraId="61F2F1E1" w14:textId="2EBA8B92" w:rsidR="00D55C0D" w:rsidRPr="00CA12CB" w:rsidRDefault="00F242C4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Alina Omlor</w:t>
            </w:r>
          </w:p>
        </w:tc>
        <w:tc>
          <w:tcPr>
            <w:tcW w:w="4675" w:type="dxa"/>
          </w:tcPr>
          <w:p w14:paraId="403621B9" w14:textId="278FC126" w:rsidR="00D55C0D" w:rsidRPr="00CA12CB" w:rsidRDefault="00F242C4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Intellectual property licensing and EU Regulation 316/2014</w:t>
            </w:r>
          </w:p>
        </w:tc>
      </w:tr>
      <w:tr w:rsidR="00D55567" w:rsidRPr="00CA12CB" w14:paraId="65B706E5" w14:textId="77777777" w:rsidTr="00D3456E">
        <w:tc>
          <w:tcPr>
            <w:tcW w:w="4675" w:type="dxa"/>
          </w:tcPr>
          <w:p w14:paraId="00DF327D" w14:textId="3629AFFE" w:rsidR="00D55C0D" w:rsidRPr="00CA12CB" w:rsidRDefault="00D3456E" w:rsidP="00D3456E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Carmen Botella</w:t>
            </w:r>
          </w:p>
        </w:tc>
        <w:tc>
          <w:tcPr>
            <w:tcW w:w="4675" w:type="dxa"/>
          </w:tcPr>
          <w:p w14:paraId="0DA09D16" w14:textId="12D98C92" w:rsidR="00D55C0D" w:rsidRPr="00CA12CB" w:rsidRDefault="00D3456E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Commitments as remedy for art. 101 TFEU infringements</w:t>
            </w:r>
          </w:p>
        </w:tc>
      </w:tr>
      <w:tr w:rsidR="00D55567" w:rsidRPr="00CA12CB" w14:paraId="463D7FD6" w14:textId="77777777" w:rsidTr="00D3456E">
        <w:tc>
          <w:tcPr>
            <w:tcW w:w="4675" w:type="dxa"/>
          </w:tcPr>
          <w:p w14:paraId="3990637C" w14:textId="609D7E92" w:rsidR="00D55C0D" w:rsidRPr="00CA12CB" w:rsidRDefault="00D3456E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 xml:space="preserve">Ariane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</w:rPr>
              <w:t>Bompy</w:t>
            </w:r>
            <w:proofErr w:type="spellEnd"/>
          </w:p>
        </w:tc>
        <w:tc>
          <w:tcPr>
            <w:tcW w:w="4675" w:type="dxa"/>
          </w:tcPr>
          <w:p w14:paraId="73455792" w14:textId="2F1E3982" w:rsidR="00D55C0D" w:rsidRPr="00CA12CB" w:rsidRDefault="00D3456E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Conditions to clearance of a concentration: the rules and the jurisprudence</w:t>
            </w:r>
          </w:p>
        </w:tc>
      </w:tr>
      <w:tr w:rsidR="00D55567" w:rsidRPr="00CA12CB" w14:paraId="1A208C70" w14:textId="77777777" w:rsidTr="00D3456E">
        <w:tc>
          <w:tcPr>
            <w:tcW w:w="4675" w:type="dxa"/>
          </w:tcPr>
          <w:p w14:paraId="405E2210" w14:textId="517EFFDB" w:rsidR="00D55C0D" w:rsidRPr="00CA12CB" w:rsidRDefault="00860A99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Julia Beuerle</w:t>
            </w:r>
          </w:p>
        </w:tc>
        <w:tc>
          <w:tcPr>
            <w:tcW w:w="4675" w:type="dxa"/>
          </w:tcPr>
          <w:p w14:paraId="764D9A2C" w14:textId="3887FA87" w:rsidR="00D55C0D" w:rsidRPr="00CA12CB" w:rsidRDefault="00860A99" w:rsidP="00860A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Pr="00CA12C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ventures in the energy sector under EU Competition Law</w:t>
            </w:r>
          </w:p>
        </w:tc>
      </w:tr>
      <w:tr w:rsidR="00D55567" w:rsidRPr="00CA12CB" w14:paraId="3B8D3E83" w14:textId="77777777" w:rsidTr="00D3456E">
        <w:tc>
          <w:tcPr>
            <w:tcW w:w="4675" w:type="dxa"/>
          </w:tcPr>
          <w:p w14:paraId="6DB8614D" w14:textId="162C2D86" w:rsidR="00D55C0D" w:rsidRPr="00CA12CB" w:rsidRDefault="00860A99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Carmen Checa</w:t>
            </w:r>
          </w:p>
        </w:tc>
        <w:tc>
          <w:tcPr>
            <w:tcW w:w="4675" w:type="dxa"/>
          </w:tcPr>
          <w:p w14:paraId="5579C527" w14:textId="216407A1" w:rsidR="00D55C0D" w:rsidRPr="00CA12CB" w:rsidRDefault="00860A99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Modalities of exchange of information between competitors and their evaluation under the EU Competition rules</w:t>
            </w:r>
          </w:p>
        </w:tc>
      </w:tr>
      <w:tr w:rsidR="00D55567" w:rsidRPr="00CA12CB" w14:paraId="690C4E79" w14:textId="77777777" w:rsidTr="00D3456E">
        <w:tc>
          <w:tcPr>
            <w:tcW w:w="4675" w:type="dxa"/>
          </w:tcPr>
          <w:p w14:paraId="34A3FD29" w14:textId="4C271419" w:rsidR="00D55C0D" w:rsidRPr="00CA12CB" w:rsidRDefault="00C80FB7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Enzo Laplace</w:t>
            </w:r>
          </w:p>
        </w:tc>
        <w:tc>
          <w:tcPr>
            <w:tcW w:w="4675" w:type="dxa"/>
          </w:tcPr>
          <w:p w14:paraId="1233D202" w14:textId="2665D4AC" w:rsidR="00D55C0D" w:rsidRPr="00CA12CB" w:rsidRDefault="00C80FB7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Innovation theories of harm in merger control</w:t>
            </w:r>
          </w:p>
        </w:tc>
      </w:tr>
      <w:tr w:rsidR="00D55567" w:rsidRPr="00CA12CB" w14:paraId="523D2A2C" w14:textId="77777777" w:rsidTr="00D3456E">
        <w:tc>
          <w:tcPr>
            <w:tcW w:w="4675" w:type="dxa"/>
          </w:tcPr>
          <w:p w14:paraId="5EBEFE91" w14:textId="77777777" w:rsidR="00C80FB7" w:rsidRPr="00CA12CB" w:rsidRDefault="00C80FB7" w:rsidP="00C80FB7">
            <w:pPr>
              <w:pStyle w:val="-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Paul Wittmann</w:t>
            </w:r>
          </w:p>
          <w:p w14:paraId="182B5732" w14:textId="77777777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B5138F" w14:textId="6CA939AB" w:rsidR="00C80FB7" w:rsidRPr="00CA12CB" w:rsidRDefault="00C80FB7" w:rsidP="00C80FB7">
            <w:pPr>
              <w:pStyle w:val="-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</w:rPr>
              <w:t>The draft guidelines of the European Commission on exclusionary</w:t>
            </w:r>
            <w:r w:rsidR="00D55567" w:rsidRPr="00CA1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2CB">
              <w:rPr>
                <w:rFonts w:ascii="Arial" w:hAnsi="Arial" w:cs="Arial"/>
                <w:sz w:val="24"/>
                <w:szCs w:val="24"/>
              </w:rPr>
              <w:t>abuse</w:t>
            </w:r>
          </w:p>
          <w:p w14:paraId="51BCC778" w14:textId="77777777" w:rsidR="00D55C0D" w:rsidRPr="00CA12CB" w:rsidRDefault="00D55C0D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9C5" w:rsidRPr="00CA12CB" w14:paraId="4EF35021" w14:textId="77777777" w:rsidTr="00D3456E">
        <w:tc>
          <w:tcPr>
            <w:tcW w:w="4675" w:type="dxa"/>
          </w:tcPr>
          <w:p w14:paraId="0F87C330" w14:textId="3729FE8C" w:rsidR="00D55C0D" w:rsidRPr="00CA12CB" w:rsidRDefault="00C80FB7" w:rsidP="00CA359F">
            <w:pPr>
              <w:pStyle w:val="-HTML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A12CB">
              <w:rPr>
                <w:rFonts w:ascii="Arial" w:hAnsi="Arial" w:cs="Arial"/>
                <w:sz w:val="24"/>
                <w:szCs w:val="24"/>
                <w:shd w:val="clear" w:color="auto" w:fill="EBF4F9"/>
              </w:rPr>
              <w:t xml:space="preserve">Valentina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  <w:shd w:val="clear" w:color="auto" w:fill="EBF4F9"/>
              </w:rPr>
              <w:t>Guijarro</w:t>
            </w:r>
            <w:proofErr w:type="spellEnd"/>
            <w:r w:rsidRPr="00CA12CB">
              <w:rPr>
                <w:rFonts w:ascii="Arial" w:hAnsi="Arial" w:cs="Arial"/>
                <w:sz w:val="24"/>
                <w:szCs w:val="24"/>
                <w:shd w:val="clear" w:color="auto" w:fill="EBF4F9"/>
              </w:rPr>
              <w:t xml:space="preserve"> </w:t>
            </w:r>
            <w:proofErr w:type="spellStart"/>
            <w:r w:rsidRPr="00CA12CB">
              <w:rPr>
                <w:rFonts w:ascii="Arial" w:hAnsi="Arial" w:cs="Arial"/>
                <w:sz w:val="24"/>
                <w:szCs w:val="24"/>
                <w:shd w:val="clear" w:color="auto" w:fill="EBF4F9"/>
              </w:rPr>
              <w:t>Nahornova</w:t>
            </w:r>
            <w:proofErr w:type="spellEnd"/>
          </w:p>
        </w:tc>
        <w:tc>
          <w:tcPr>
            <w:tcW w:w="4675" w:type="dxa"/>
          </w:tcPr>
          <w:p w14:paraId="0E8C3917" w14:textId="3476D5E3" w:rsidR="00D55C0D" w:rsidRPr="00CA12CB" w:rsidRDefault="00C80FB7" w:rsidP="00DE4D08">
            <w:pPr>
              <w:pStyle w:val="-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CA12CB">
              <w:rPr>
                <w:rFonts w:ascii="Arial" w:hAnsi="Arial" w:cs="Arial"/>
                <w:sz w:val="24"/>
                <w:szCs w:val="24"/>
              </w:rPr>
              <w:t>he basic parameters of the Guidance on the EU Commission’s enforcement priorities in applying art 82 of the EC treaty to abusive exclusionary conduct by dominant undertaking</w:t>
            </w:r>
          </w:p>
          <w:p w14:paraId="6657BCCF" w14:textId="77777777" w:rsidR="00DE4D08" w:rsidRPr="00CA12CB" w:rsidRDefault="00DE4D08" w:rsidP="00CA359F">
            <w:pPr>
              <w:pStyle w:val="-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08" w:rsidRPr="00CA12CB" w14:paraId="5F81B85F" w14:textId="77777777" w:rsidTr="00D3456E">
        <w:tc>
          <w:tcPr>
            <w:tcW w:w="4675" w:type="dxa"/>
          </w:tcPr>
          <w:p w14:paraId="37583C61" w14:textId="453E6482" w:rsidR="00DE4D08" w:rsidRPr="00CA12CB" w:rsidRDefault="00DE4D08" w:rsidP="00CA359F">
            <w:pPr>
              <w:pStyle w:val="-HTML"/>
              <w:rPr>
                <w:rFonts w:ascii="Arial" w:hAnsi="Arial" w:cs="Arial"/>
                <w:sz w:val="24"/>
                <w:szCs w:val="24"/>
                <w:shd w:val="clear" w:color="auto" w:fill="EBF4F9"/>
              </w:rPr>
            </w:pPr>
            <w:proofErr w:type="spellStart"/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t>María</w:t>
            </w:r>
            <w:proofErr w:type="spellEnd"/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t xml:space="preserve"> Dolores </w:t>
            </w:r>
            <w:proofErr w:type="spellStart"/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t>Fernández-Abascal</w:t>
            </w:r>
            <w:proofErr w:type="spellEnd"/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lastRenderedPageBreak/>
              <w:t>Lendines</w:t>
            </w:r>
            <w:proofErr w:type="spellEnd"/>
          </w:p>
        </w:tc>
        <w:tc>
          <w:tcPr>
            <w:tcW w:w="4675" w:type="dxa"/>
          </w:tcPr>
          <w:p w14:paraId="4F11233D" w14:textId="192E2C94" w:rsidR="00DE4D08" w:rsidRPr="00CA12CB" w:rsidRDefault="00DE4D08" w:rsidP="00DE4D08">
            <w:pPr>
              <w:pStyle w:val="-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lastRenderedPageBreak/>
              <w:t>Quantification of damages due</w:t>
            </w:r>
            <w:r w:rsidRPr="00CA12CB">
              <w:rPr>
                <w:rFonts w:ascii="Arial" w:hAnsi="Arial" w:cs="Arial"/>
                <w:color w:val="414042"/>
                <w:sz w:val="24"/>
                <w:szCs w:val="24"/>
              </w:rPr>
              <w:br/>
            </w:r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lastRenderedPageBreak/>
              <w:t>to infringements of competition law: views of the European Commission and</w:t>
            </w:r>
            <w:r w:rsidRPr="00CA12CB">
              <w:rPr>
                <w:rFonts w:ascii="Arial" w:hAnsi="Arial" w:cs="Arial"/>
                <w:color w:val="414042"/>
                <w:sz w:val="24"/>
                <w:szCs w:val="24"/>
              </w:rPr>
              <w:br/>
            </w:r>
            <w:r w:rsidRPr="00CA12CB"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  <w:t>proposed methodologies</w:t>
            </w:r>
          </w:p>
        </w:tc>
      </w:tr>
      <w:tr w:rsidR="00DE4D08" w:rsidRPr="00CA12CB" w14:paraId="50939286" w14:textId="77777777" w:rsidTr="00D3456E">
        <w:tc>
          <w:tcPr>
            <w:tcW w:w="4675" w:type="dxa"/>
          </w:tcPr>
          <w:p w14:paraId="7359E629" w14:textId="656C4851" w:rsidR="00DE4D08" w:rsidRPr="00CA12CB" w:rsidRDefault="00DE4D08" w:rsidP="00CA359F">
            <w:pPr>
              <w:pStyle w:val="-HTML"/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</w:pPr>
            <w:r w:rsidRPr="00CA12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 Freja Maj Johansen</w:t>
            </w:r>
          </w:p>
        </w:tc>
        <w:tc>
          <w:tcPr>
            <w:tcW w:w="4675" w:type="dxa"/>
          </w:tcPr>
          <w:p w14:paraId="5ADFA396" w14:textId="5FE9BDEE" w:rsidR="00DE4D08" w:rsidRPr="00CA12CB" w:rsidRDefault="00DE4D08" w:rsidP="00DE4D08">
            <w:pPr>
              <w:pStyle w:val="-HTML"/>
              <w:shd w:val="clear" w:color="auto" w:fill="FFFFFF"/>
              <w:rPr>
                <w:rFonts w:ascii="Arial" w:hAnsi="Arial" w:cs="Arial"/>
                <w:color w:val="414042"/>
                <w:sz w:val="24"/>
                <w:szCs w:val="24"/>
                <w:shd w:val="clear" w:color="auto" w:fill="FFFFFF"/>
              </w:rPr>
            </w:pPr>
            <w:r w:rsidRPr="00CA12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Modalities of exchange of information between competitors and their evaluation under the EU Competition rules</w:t>
            </w:r>
          </w:p>
        </w:tc>
      </w:tr>
      <w:tr w:rsidR="00CA12CB" w:rsidRPr="00CA12CB" w14:paraId="5A3CB18C" w14:textId="77777777" w:rsidTr="00D3456E">
        <w:tc>
          <w:tcPr>
            <w:tcW w:w="4675" w:type="dxa"/>
          </w:tcPr>
          <w:p w14:paraId="5346A151" w14:textId="77777777" w:rsidR="00CA12CB" w:rsidRPr="00CA12CB" w:rsidRDefault="00CA12CB" w:rsidP="00CA12CB">
            <w:pPr>
              <w:pStyle w:val="-HTML"/>
              <w:shd w:val="clear" w:color="auto" w:fill="FFFFFF"/>
              <w:rPr>
                <w:rFonts w:ascii="Arial" w:hAnsi="Arial" w:cs="Arial"/>
                <w:color w:val="414042"/>
                <w:sz w:val="24"/>
                <w:szCs w:val="24"/>
              </w:rPr>
            </w:pPr>
            <w:r w:rsidRPr="00CA12CB">
              <w:rPr>
                <w:rFonts w:ascii="Arial" w:hAnsi="Arial" w:cs="Arial"/>
                <w:color w:val="414042"/>
                <w:sz w:val="24"/>
                <w:szCs w:val="24"/>
              </w:rPr>
              <w:t>Francesco Gabriele</w:t>
            </w:r>
          </w:p>
          <w:p w14:paraId="1E62E30D" w14:textId="77777777" w:rsidR="00CA12CB" w:rsidRPr="00CA12CB" w:rsidRDefault="00CA12CB" w:rsidP="00CA359F">
            <w:pPr>
              <w:pStyle w:val="-HTML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5" w:type="dxa"/>
          </w:tcPr>
          <w:p w14:paraId="0311A72F" w14:textId="694FFBE7" w:rsidR="00CA12CB" w:rsidRPr="00CA12CB" w:rsidRDefault="00CA12CB" w:rsidP="00CA12CB">
            <w:pPr>
              <w:pStyle w:val="-HTML"/>
              <w:shd w:val="clear" w:color="auto" w:fill="FFFFFF"/>
              <w:rPr>
                <w:rFonts w:ascii="Arial" w:hAnsi="Arial" w:cs="Arial"/>
                <w:color w:val="414042"/>
                <w:sz w:val="24"/>
                <w:szCs w:val="24"/>
              </w:rPr>
            </w:pPr>
            <w:r w:rsidRPr="00CA12CB">
              <w:rPr>
                <w:rFonts w:ascii="Arial" w:hAnsi="Arial" w:cs="Arial"/>
                <w:color w:val="414042"/>
                <w:sz w:val="24"/>
                <w:szCs w:val="24"/>
              </w:rPr>
              <w:t>The binding effect of Decisions of competition authorities</w:t>
            </w:r>
          </w:p>
          <w:p w14:paraId="52AD37A6" w14:textId="77777777" w:rsidR="00CA12CB" w:rsidRPr="00CA12CB" w:rsidRDefault="00CA12CB" w:rsidP="00DE4D08">
            <w:pPr>
              <w:pStyle w:val="-HTML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5282642" w14:textId="77777777" w:rsidR="00D55C0D" w:rsidRPr="00CA12CB" w:rsidRDefault="00D55C0D" w:rsidP="00CA359F">
      <w:pPr>
        <w:pStyle w:val="-HTML"/>
        <w:shd w:val="clear" w:color="auto" w:fill="FFFFFF"/>
        <w:rPr>
          <w:rFonts w:ascii="Arial" w:hAnsi="Arial" w:cs="Arial"/>
          <w:sz w:val="24"/>
          <w:szCs w:val="24"/>
        </w:rPr>
      </w:pPr>
    </w:p>
    <w:p w14:paraId="19FFDEB4" w14:textId="77777777" w:rsidR="00CA359F" w:rsidRPr="00CA12CB" w:rsidRDefault="00CA359F" w:rsidP="00CA359F">
      <w:pPr>
        <w:pStyle w:val="-HTML"/>
        <w:shd w:val="clear" w:color="auto" w:fill="FFFFFF"/>
        <w:rPr>
          <w:rFonts w:ascii="Arial" w:hAnsi="Arial" w:cs="Arial"/>
          <w:sz w:val="24"/>
          <w:szCs w:val="24"/>
        </w:rPr>
      </w:pPr>
    </w:p>
    <w:p w14:paraId="59523492" w14:textId="440E0A00" w:rsidR="00CA359F" w:rsidRPr="00CA12CB" w:rsidRDefault="00CA359F" w:rsidP="00CA3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ar-SA"/>
          <w14:ligatures w14:val="none"/>
        </w:rPr>
      </w:pPr>
    </w:p>
    <w:p w14:paraId="17CC4BEC" w14:textId="77777777" w:rsidR="00CA359F" w:rsidRPr="00CA12CB" w:rsidRDefault="00CA359F" w:rsidP="00CA3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bidi="ar-SA"/>
          <w14:ligatures w14:val="none"/>
        </w:rPr>
      </w:pPr>
    </w:p>
    <w:p w14:paraId="11F5755E" w14:textId="77777777" w:rsidR="002D5FED" w:rsidRPr="00CA12CB" w:rsidRDefault="002D5FED">
      <w:pPr>
        <w:rPr>
          <w:rFonts w:ascii="Arial" w:hAnsi="Arial" w:cs="Arial"/>
          <w:sz w:val="24"/>
          <w:szCs w:val="24"/>
        </w:rPr>
      </w:pPr>
    </w:p>
    <w:sectPr w:rsidR="002D5FED" w:rsidRPr="00CA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E"/>
    <w:rsid w:val="002062E3"/>
    <w:rsid w:val="0029125B"/>
    <w:rsid w:val="002D5FED"/>
    <w:rsid w:val="002E63D4"/>
    <w:rsid w:val="005739C5"/>
    <w:rsid w:val="006F3372"/>
    <w:rsid w:val="00860A99"/>
    <w:rsid w:val="009D4167"/>
    <w:rsid w:val="00C80FB7"/>
    <w:rsid w:val="00CA12CB"/>
    <w:rsid w:val="00CA359F"/>
    <w:rsid w:val="00CD22A5"/>
    <w:rsid w:val="00CF097E"/>
    <w:rsid w:val="00D3456E"/>
    <w:rsid w:val="00D55567"/>
    <w:rsid w:val="00D55C0D"/>
    <w:rsid w:val="00DE4D08"/>
    <w:rsid w:val="00EF719B"/>
    <w:rsid w:val="00F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CA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rsid w:val="00CA359F"/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table" w:styleId="a3">
    <w:name w:val="Table Grid"/>
    <w:basedOn w:val="a1"/>
    <w:uiPriority w:val="39"/>
    <w:rsid w:val="00D5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unhideWhenUsed/>
    <w:rsid w:val="00860A99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860A99"/>
    <w:rPr>
      <w:rFonts w:ascii="Calibri" w:eastAsia="Times New Roman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CA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rsid w:val="00CA359F"/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table" w:styleId="a3">
    <w:name w:val="Table Grid"/>
    <w:basedOn w:val="a1"/>
    <w:uiPriority w:val="39"/>
    <w:rsid w:val="00D5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unhideWhenUsed/>
    <w:rsid w:val="00860A99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860A99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Kinini</dc:creator>
  <cp:lastModifiedBy>athina</cp:lastModifiedBy>
  <cp:revision>2</cp:revision>
  <dcterms:created xsi:type="dcterms:W3CDTF">2023-11-07T10:51:00Z</dcterms:created>
  <dcterms:modified xsi:type="dcterms:W3CDTF">2023-11-07T10:51:00Z</dcterms:modified>
</cp:coreProperties>
</file>